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1931A" w14:textId="77777777" w:rsidR="00A160B2" w:rsidRDefault="00A160B2" w:rsidP="00A160B2">
      <w:pPr>
        <w:spacing w:after="480"/>
      </w:pPr>
      <w:r>
        <w:rPr>
          <w:rFonts w:ascii="Arial Black" w:hAnsi="Arial Black"/>
          <w:noProof/>
          <w:color w:val="999999"/>
          <w:sz w:val="36"/>
          <w:szCs w:val="36"/>
          <w:lang w:eastAsia="en-GB"/>
        </w:rPr>
        <w:drawing>
          <wp:inline distT="0" distB="0" distL="0" distR="0" wp14:anchorId="37E63FDE" wp14:editId="172CEDB6">
            <wp:extent cx="2009775" cy="495935"/>
            <wp:effectExtent l="0" t="0" r="9525" b="0"/>
            <wp:docPr id="4" name="Picture 4" descr="Harrow Council Logo" title="Harrow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rrow Counci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9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Style1"/>
        <w:tblW w:w="0" w:type="auto"/>
        <w:tblLook w:val="0000" w:firstRow="0" w:lastRow="0" w:firstColumn="0" w:lastColumn="0" w:noHBand="0" w:noVBand="0"/>
        <w:tblCaption w:val="Cabinet report summary details"/>
      </w:tblPr>
      <w:tblGrid>
        <w:gridCol w:w="3456"/>
        <w:gridCol w:w="5054"/>
      </w:tblGrid>
      <w:tr w:rsidR="00A160B2" w14:paraId="11D72DF6" w14:textId="77777777" w:rsidTr="006C3150">
        <w:trPr>
          <w:tblHeader/>
        </w:trPr>
        <w:tc>
          <w:tcPr>
            <w:tcW w:w="3456" w:type="dxa"/>
            <w:tcBorders>
              <w:bottom w:val="single" w:sz="18" w:space="0" w:color="auto"/>
            </w:tcBorders>
          </w:tcPr>
          <w:p w14:paraId="69352469" w14:textId="77777777" w:rsidR="00A160B2" w:rsidRPr="00B805DB" w:rsidRDefault="00A160B2" w:rsidP="006C3150">
            <w:pPr>
              <w:pStyle w:val="Heading1"/>
              <w:spacing w:after="240"/>
              <w:outlineLvl w:val="0"/>
            </w:pPr>
            <w:r>
              <w:t>Report f</w:t>
            </w:r>
            <w:r w:rsidRPr="00C869F3">
              <w:t>or:</w:t>
            </w:r>
          </w:p>
        </w:tc>
        <w:tc>
          <w:tcPr>
            <w:tcW w:w="5054" w:type="dxa"/>
            <w:tcBorders>
              <w:bottom w:val="single" w:sz="18" w:space="0" w:color="auto"/>
            </w:tcBorders>
          </w:tcPr>
          <w:p w14:paraId="666A29EC" w14:textId="1CC4D19B" w:rsidR="00A160B2" w:rsidRPr="008658CB" w:rsidRDefault="008658CB" w:rsidP="006C3150">
            <w:pPr>
              <w:pStyle w:val="Heading1"/>
              <w:outlineLvl w:val="0"/>
            </w:pPr>
            <w:r>
              <w:t xml:space="preserve">Pension </w:t>
            </w:r>
            <w:r w:rsidR="00F40FD8">
              <w:t>Board</w:t>
            </w:r>
            <w:r w:rsidR="00A160B2" w:rsidRPr="00A160B2">
              <w:rPr>
                <w:color w:val="0000FF"/>
              </w:rPr>
              <w:t xml:space="preserve"> </w:t>
            </w:r>
          </w:p>
        </w:tc>
      </w:tr>
      <w:tr w:rsidR="00A160B2" w14:paraId="6314F551" w14:textId="77777777" w:rsidTr="006C3150">
        <w:tc>
          <w:tcPr>
            <w:tcW w:w="3456" w:type="dxa"/>
            <w:tcBorders>
              <w:top w:val="single" w:sz="18" w:space="0" w:color="auto"/>
            </w:tcBorders>
          </w:tcPr>
          <w:p w14:paraId="070AE713" w14:textId="77777777" w:rsidR="00A160B2" w:rsidRPr="00F92398" w:rsidRDefault="00A160B2" w:rsidP="006C3150">
            <w:pPr>
              <w:pStyle w:val="Infotext"/>
              <w:rPr>
                <w:rFonts w:ascii="Arial Black" w:hAnsi="Arial Black"/>
              </w:rPr>
            </w:pPr>
            <w:r w:rsidRPr="00F92398">
              <w:rPr>
                <w:rFonts w:ascii="Arial Black" w:hAnsi="Arial Black"/>
              </w:rPr>
              <w:t>Date</w:t>
            </w:r>
            <w:r>
              <w:rPr>
                <w:rFonts w:ascii="Arial Black" w:hAnsi="Arial Black"/>
              </w:rPr>
              <w:t xml:space="preserve"> of Meeting</w:t>
            </w:r>
            <w:r w:rsidRPr="00F92398">
              <w:rPr>
                <w:rFonts w:ascii="Arial Black" w:hAnsi="Arial Black"/>
              </w:rPr>
              <w:t>:</w:t>
            </w:r>
          </w:p>
          <w:p w14:paraId="484F79ED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  <w:tcBorders>
              <w:top w:val="single" w:sz="18" w:space="0" w:color="auto"/>
            </w:tcBorders>
          </w:tcPr>
          <w:p w14:paraId="2C055184" w14:textId="20474512" w:rsidR="00A160B2" w:rsidRDefault="008658CB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F40FD8">
              <w:rPr>
                <w:rFonts w:cs="Arial"/>
              </w:rPr>
              <w:t xml:space="preserve"> Decemb</w:t>
            </w:r>
            <w:r>
              <w:rPr>
                <w:rFonts w:cs="Arial"/>
              </w:rPr>
              <w:t>er 2020</w:t>
            </w:r>
          </w:p>
        </w:tc>
      </w:tr>
      <w:tr w:rsidR="00A160B2" w14:paraId="76BB05F7" w14:textId="77777777" w:rsidTr="006C3150">
        <w:tc>
          <w:tcPr>
            <w:tcW w:w="3456" w:type="dxa"/>
          </w:tcPr>
          <w:p w14:paraId="3613FF64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Subject:</w:t>
            </w:r>
          </w:p>
          <w:p w14:paraId="38396670" w14:textId="77777777" w:rsidR="00A160B2" w:rsidRPr="00F92398" w:rsidRDefault="00A160B2" w:rsidP="006C3150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5054" w:type="dxa"/>
          </w:tcPr>
          <w:p w14:paraId="0D1B98A1" w14:textId="5DBBEA22" w:rsidR="00A160B2" w:rsidRDefault="008658CB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 xml:space="preserve">Review of Pension Fund </w:t>
            </w:r>
            <w:r w:rsidR="005B1745">
              <w:rPr>
                <w:rFonts w:cs="Arial"/>
              </w:rPr>
              <w:t xml:space="preserve">Committee </w:t>
            </w:r>
            <w:r w:rsidR="00207FEE">
              <w:rPr>
                <w:rFonts w:cs="Arial"/>
              </w:rPr>
              <w:t>I</w:t>
            </w:r>
            <w:r w:rsidR="005B1745">
              <w:rPr>
                <w:rFonts w:cs="Arial"/>
              </w:rPr>
              <w:t>tems – 25 November 2020</w:t>
            </w:r>
          </w:p>
        </w:tc>
      </w:tr>
      <w:tr w:rsidR="00A160B2" w14:paraId="531E6E53" w14:textId="77777777" w:rsidTr="006C3150">
        <w:tc>
          <w:tcPr>
            <w:tcW w:w="3456" w:type="dxa"/>
          </w:tcPr>
          <w:p w14:paraId="7FE0DEBF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Responsible Officer:</w:t>
            </w:r>
          </w:p>
          <w:p w14:paraId="70CE35B4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</w:tcPr>
          <w:p w14:paraId="31EF1F05" w14:textId="0A53066A" w:rsidR="00A160B2" w:rsidRDefault="008658CB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Dawn Calvert – Director of Finance and Assurance</w:t>
            </w:r>
          </w:p>
          <w:p w14:paraId="3D85DA8F" w14:textId="77777777" w:rsidR="00A160B2" w:rsidRDefault="00A160B2" w:rsidP="006C3150">
            <w:pPr>
              <w:pStyle w:val="Infotext"/>
              <w:rPr>
                <w:rFonts w:cs="Arial"/>
              </w:rPr>
            </w:pPr>
          </w:p>
        </w:tc>
      </w:tr>
      <w:tr w:rsidR="00A160B2" w14:paraId="3D741C83" w14:textId="77777777" w:rsidTr="006C3150">
        <w:tc>
          <w:tcPr>
            <w:tcW w:w="3456" w:type="dxa"/>
          </w:tcPr>
          <w:p w14:paraId="517B3FD7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Exempt:</w:t>
            </w:r>
          </w:p>
          <w:p w14:paraId="004D0535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</w:tcPr>
          <w:p w14:paraId="25CD7D86" w14:textId="2E29CEED" w:rsidR="00A160B2" w:rsidRDefault="00A160B2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  <w:p w14:paraId="7E311EB6" w14:textId="77777777" w:rsidR="00A160B2" w:rsidRDefault="00A160B2" w:rsidP="008658CB">
            <w:pPr>
              <w:pStyle w:val="Infotext"/>
              <w:rPr>
                <w:rFonts w:cs="Arial"/>
              </w:rPr>
            </w:pPr>
          </w:p>
        </w:tc>
      </w:tr>
      <w:tr w:rsidR="00A160B2" w14:paraId="57E80FA9" w14:textId="77777777" w:rsidTr="006C3150">
        <w:tc>
          <w:tcPr>
            <w:tcW w:w="3456" w:type="dxa"/>
          </w:tcPr>
          <w:p w14:paraId="2A7692C0" w14:textId="77777777" w:rsidR="00A160B2" w:rsidRDefault="00A160B2" w:rsidP="006C3150">
            <w:pPr>
              <w:pStyle w:val="Infotex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Wards affected:</w:t>
            </w:r>
          </w:p>
          <w:p w14:paraId="21E89C54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</w:tcPr>
          <w:p w14:paraId="76AFF8C8" w14:textId="4AD4E088" w:rsidR="00A160B2" w:rsidRPr="00207FEE" w:rsidRDefault="008658CB" w:rsidP="006C3150">
            <w:pPr>
              <w:pStyle w:val="Infotext"/>
              <w:rPr>
                <w:bCs/>
              </w:rPr>
            </w:pPr>
            <w:r w:rsidRPr="00207FEE">
              <w:rPr>
                <w:bCs/>
              </w:rPr>
              <w:t>All</w:t>
            </w:r>
          </w:p>
        </w:tc>
      </w:tr>
      <w:tr w:rsidR="00A160B2" w:rsidRPr="00207FEE" w14:paraId="7F2E4E91" w14:textId="77777777" w:rsidTr="006C3150">
        <w:tc>
          <w:tcPr>
            <w:tcW w:w="3456" w:type="dxa"/>
          </w:tcPr>
          <w:p w14:paraId="2B3C773B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Enclosures:</w:t>
            </w:r>
          </w:p>
          <w:p w14:paraId="49B6D6B1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</w:tcPr>
          <w:p w14:paraId="603B3D04" w14:textId="744C2583" w:rsidR="008658CB" w:rsidRDefault="008658CB" w:rsidP="008658CB">
            <w:pPr>
              <w:pStyle w:val="Infotext"/>
              <w:rPr>
                <w:szCs w:val="28"/>
              </w:rPr>
            </w:pPr>
            <w:r w:rsidRPr="00207FEE">
              <w:rPr>
                <w:szCs w:val="28"/>
              </w:rPr>
              <w:t xml:space="preserve">Appendix 1 </w:t>
            </w:r>
            <w:r w:rsidR="00A61BB7" w:rsidRPr="00207FEE">
              <w:rPr>
                <w:szCs w:val="28"/>
              </w:rPr>
              <w:t xml:space="preserve">- </w:t>
            </w:r>
            <w:r w:rsidR="005B1745" w:rsidRPr="00207FEE">
              <w:rPr>
                <w:szCs w:val="28"/>
              </w:rPr>
              <w:t>Investment Dashboard (Aon)</w:t>
            </w:r>
          </w:p>
          <w:p w14:paraId="0A548A09" w14:textId="77777777" w:rsidR="00235478" w:rsidRPr="00D84A41" w:rsidRDefault="00235478" w:rsidP="00235478">
            <w:pPr>
              <w:pStyle w:val="Infotext"/>
              <w:rPr>
                <w:szCs w:val="24"/>
              </w:rPr>
            </w:pPr>
            <w:r w:rsidRPr="00D84A41">
              <w:rPr>
                <w:szCs w:val="24"/>
              </w:rPr>
              <w:t>Appendix 2: Pension Fund Committee notes (to follow)</w:t>
            </w:r>
          </w:p>
          <w:p w14:paraId="59E69D53" w14:textId="1B43F162" w:rsidR="00A61BB7" w:rsidRPr="00207FEE" w:rsidRDefault="00A61BB7" w:rsidP="006C3150">
            <w:pPr>
              <w:pStyle w:val="Infotext"/>
              <w:rPr>
                <w:szCs w:val="28"/>
              </w:rPr>
            </w:pPr>
          </w:p>
        </w:tc>
      </w:tr>
    </w:tbl>
    <w:p w14:paraId="2785EA39" w14:textId="77777777" w:rsidR="0035511A" w:rsidRDefault="003551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Cabinet report summary details"/>
      </w:tblPr>
      <w:tblGrid>
        <w:gridCol w:w="8525"/>
      </w:tblGrid>
      <w:tr w:rsidR="00A160B2" w14:paraId="693DD40E" w14:textId="77777777" w:rsidTr="006C3150">
        <w:trPr>
          <w:tblHeader/>
        </w:trPr>
        <w:tc>
          <w:tcPr>
            <w:tcW w:w="8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0BFE1" w14:textId="77777777" w:rsidR="00A160B2" w:rsidRDefault="00A160B2" w:rsidP="00912904">
            <w:pPr>
              <w:pStyle w:val="Heading2"/>
              <w:spacing w:before="240" w:after="240"/>
            </w:pPr>
            <w:r>
              <w:t>Section 1 – Summary and Recommendations</w:t>
            </w:r>
          </w:p>
        </w:tc>
      </w:tr>
      <w:tr w:rsidR="00A160B2" w14:paraId="19EFEE84" w14:textId="77777777" w:rsidTr="006C3150">
        <w:trPr>
          <w:tblHeader/>
        </w:trPr>
        <w:tc>
          <w:tcPr>
            <w:tcW w:w="8525" w:type="dxa"/>
            <w:tcBorders>
              <w:left w:val="nil"/>
              <w:bottom w:val="nil"/>
              <w:right w:val="nil"/>
            </w:tcBorders>
          </w:tcPr>
          <w:p w14:paraId="03FD1B92" w14:textId="39949D1F" w:rsidR="00A160B2" w:rsidRPr="008658CB" w:rsidRDefault="008658CB" w:rsidP="00A160B2">
            <w:r w:rsidRPr="008658CB">
              <w:t xml:space="preserve">This </w:t>
            </w:r>
            <w:r w:rsidR="005B1745" w:rsidRPr="00A154D4">
              <w:t xml:space="preserve">report </w:t>
            </w:r>
            <w:r w:rsidR="005B1745">
              <w:t>summarises</w:t>
            </w:r>
            <w:r w:rsidR="005B1745" w:rsidRPr="00A154D4">
              <w:t xml:space="preserve"> the matters considered by the Pension Fund Committee at </w:t>
            </w:r>
            <w:r w:rsidR="005B1745">
              <w:t>the</w:t>
            </w:r>
            <w:r w:rsidR="005B1745" w:rsidRPr="00A154D4">
              <w:t xml:space="preserve"> meeting on </w:t>
            </w:r>
            <w:r w:rsidR="005B1745">
              <w:t>25 November 2020</w:t>
            </w:r>
            <w:r w:rsidR="005B1745" w:rsidRPr="00A154D4">
              <w:t xml:space="preserve"> and invites the Board to agree any comments </w:t>
            </w:r>
            <w:r w:rsidR="005B1745">
              <w:t>they</w:t>
            </w:r>
            <w:r w:rsidR="005B1745" w:rsidRPr="00A154D4">
              <w:t xml:space="preserve"> might wish to make to</w:t>
            </w:r>
            <w:r w:rsidR="005B1745">
              <w:t xml:space="preserve"> </w:t>
            </w:r>
            <w:r w:rsidR="00EE1DBB">
              <w:t>the Pension Fund Committee</w:t>
            </w:r>
            <w:r w:rsidR="005B1745">
              <w:t>.</w:t>
            </w:r>
          </w:p>
          <w:p w14:paraId="201762EB" w14:textId="77777777" w:rsidR="00A160B2" w:rsidRDefault="00A160B2" w:rsidP="00A160B2">
            <w:pPr>
              <w:rPr>
                <w:rFonts w:ascii="Arial Bold" w:hAnsi="Arial Bold"/>
                <w:b/>
                <w:sz w:val="28"/>
              </w:rPr>
            </w:pPr>
          </w:p>
          <w:p w14:paraId="3C3A91A9" w14:textId="77777777" w:rsidR="00A160B2" w:rsidRPr="00A160B2" w:rsidRDefault="00A160B2" w:rsidP="00A160B2">
            <w:pPr>
              <w:rPr>
                <w:rFonts w:ascii="Arial Bold" w:hAnsi="Arial Bold"/>
                <w:b/>
                <w:sz w:val="28"/>
              </w:rPr>
            </w:pPr>
            <w:r w:rsidRPr="00A160B2">
              <w:rPr>
                <w:rFonts w:ascii="Arial Bold" w:hAnsi="Arial Bold"/>
                <w:b/>
                <w:sz w:val="28"/>
              </w:rPr>
              <w:t xml:space="preserve">Recommendations: </w:t>
            </w:r>
          </w:p>
          <w:p w14:paraId="57CACB8E" w14:textId="1DC1BDAC" w:rsidR="00A160B2" w:rsidRDefault="00A160B2" w:rsidP="005B1745">
            <w:r>
              <w:t xml:space="preserve">The </w:t>
            </w:r>
            <w:r w:rsidR="005B1745">
              <w:rPr>
                <w:rFonts w:cs="Arial"/>
                <w:szCs w:val="24"/>
              </w:rPr>
              <w:t>Board</w:t>
            </w:r>
            <w:r w:rsidR="005B1745" w:rsidRPr="0076456E">
              <w:rPr>
                <w:rFonts w:cs="Arial"/>
                <w:szCs w:val="24"/>
              </w:rPr>
              <w:t xml:space="preserve"> </w:t>
            </w:r>
            <w:r w:rsidR="005B1745">
              <w:rPr>
                <w:rFonts w:cs="Arial"/>
                <w:szCs w:val="24"/>
              </w:rPr>
              <w:t>is requested to note the report and comment as necessary.</w:t>
            </w:r>
            <w:r w:rsidR="008658CB">
              <w:t xml:space="preserve"> </w:t>
            </w:r>
          </w:p>
        </w:tc>
      </w:tr>
    </w:tbl>
    <w:p w14:paraId="249DEEF5" w14:textId="77777777" w:rsidR="002A2389" w:rsidRPr="00D93893" w:rsidRDefault="002A2389" w:rsidP="00A160B2">
      <w:pPr>
        <w:pStyle w:val="Heading2"/>
      </w:pPr>
      <w:r w:rsidRPr="00D93893">
        <w:t>Section 2 – Report</w:t>
      </w:r>
    </w:p>
    <w:p w14:paraId="50D0653C" w14:textId="0DEDE284" w:rsidR="008658CB" w:rsidRPr="00A61BB7" w:rsidRDefault="008658CB" w:rsidP="00A61BB7">
      <w:pPr>
        <w:pStyle w:val="ListParagraph"/>
        <w:rPr>
          <w:b/>
          <w:bCs/>
          <w:color w:val="0000FF"/>
          <w:sz w:val="24"/>
          <w:szCs w:val="24"/>
          <w:u w:val="single"/>
        </w:rPr>
      </w:pPr>
    </w:p>
    <w:p w14:paraId="55FC4651" w14:textId="5F8DF181" w:rsidR="005B1745" w:rsidRPr="005B1745" w:rsidRDefault="005B1745" w:rsidP="005B1745">
      <w:pPr>
        <w:numPr>
          <w:ilvl w:val="0"/>
          <w:numId w:val="21"/>
        </w:numPr>
        <w:jc w:val="both"/>
        <w:rPr>
          <w:bCs/>
          <w:szCs w:val="24"/>
        </w:rPr>
      </w:pPr>
      <w:r>
        <w:t xml:space="preserve">The matters considered </w:t>
      </w:r>
      <w:r w:rsidRPr="005B1745">
        <w:rPr>
          <w:bCs/>
          <w:szCs w:val="24"/>
        </w:rPr>
        <w:t xml:space="preserve">by the Pension Fund Committee at its meeting on </w:t>
      </w:r>
      <w:r>
        <w:rPr>
          <w:bCs/>
          <w:szCs w:val="24"/>
        </w:rPr>
        <w:t>25 Novem</w:t>
      </w:r>
      <w:r w:rsidRPr="005B1745">
        <w:rPr>
          <w:bCs/>
          <w:szCs w:val="24"/>
        </w:rPr>
        <w:t>ber 2020 are summarised in the table below.</w:t>
      </w:r>
    </w:p>
    <w:p w14:paraId="6D039397" w14:textId="3D41F387" w:rsidR="00D93893" w:rsidRDefault="00D93893">
      <w:r>
        <w:br w:type="page"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  <w:gridCol w:w="4618"/>
      </w:tblGrid>
      <w:tr w:rsidR="005B1745" w14:paraId="550549EB" w14:textId="77777777" w:rsidTr="000A6D23">
        <w:tc>
          <w:tcPr>
            <w:tcW w:w="2961" w:type="dxa"/>
          </w:tcPr>
          <w:p w14:paraId="2C1692D5" w14:textId="77777777" w:rsidR="005B1745" w:rsidRPr="005A6D20" w:rsidRDefault="005B1745" w:rsidP="000A6D23">
            <w:pPr>
              <w:rPr>
                <w:b/>
                <w:szCs w:val="24"/>
              </w:rPr>
            </w:pPr>
            <w:r w:rsidRPr="005A6D20">
              <w:rPr>
                <w:b/>
                <w:szCs w:val="24"/>
              </w:rPr>
              <w:t>Report</w:t>
            </w:r>
          </w:p>
        </w:tc>
        <w:tc>
          <w:tcPr>
            <w:tcW w:w="4618" w:type="dxa"/>
          </w:tcPr>
          <w:p w14:paraId="790BCEB1" w14:textId="77777777" w:rsidR="005B1745" w:rsidRPr="005A6D20" w:rsidRDefault="005B1745" w:rsidP="000A6D23">
            <w:pPr>
              <w:rPr>
                <w:b/>
                <w:szCs w:val="24"/>
              </w:rPr>
            </w:pPr>
            <w:r w:rsidRPr="005A6D20">
              <w:rPr>
                <w:b/>
                <w:szCs w:val="24"/>
              </w:rPr>
              <w:t>Comments</w:t>
            </w:r>
          </w:p>
        </w:tc>
      </w:tr>
      <w:tr w:rsidR="005B1745" w14:paraId="363889BA" w14:textId="77777777" w:rsidTr="000A6D23">
        <w:tc>
          <w:tcPr>
            <w:tcW w:w="2961" w:type="dxa"/>
          </w:tcPr>
          <w:p w14:paraId="46F1B2AF" w14:textId="77777777" w:rsidR="005B1745" w:rsidRPr="002E7D60" w:rsidRDefault="005B1745" w:rsidP="000A6D23">
            <w:pPr>
              <w:rPr>
                <w:b/>
                <w:szCs w:val="24"/>
              </w:rPr>
            </w:pPr>
            <w:r w:rsidRPr="002E7D60">
              <w:rPr>
                <w:b/>
                <w:szCs w:val="24"/>
              </w:rPr>
              <w:t>Part I</w:t>
            </w:r>
          </w:p>
        </w:tc>
        <w:tc>
          <w:tcPr>
            <w:tcW w:w="4618" w:type="dxa"/>
          </w:tcPr>
          <w:p w14:paraId="4160B625" w14:textId="77777777" w:rsidR="005B1745" w:rsidRDefault="005B1745" w:rsidP="000A6D23">
            <w:pPr>
              <w:rPr>
                <w:bCs/>
                <w:szCs w:val="24"/>
              </w:rPr>
            </w:pPr>
          </w:p>
        </w:tc>
      </w:tr>
      <w:tr w:rsidR="005B1745" w14:paraId="6560D89D" w14:textId="77777777" w:rsidTr="000A6D23">
        <w:tc>
          <w:tcPr>
            <w:tcW w:w="2961" w:type="dxa"/>
          </w:tcPr>
          <w:p w14:paraId="320867B5" w14:textId="415C2D8E" w:rsidR="005B1745" w:rsidRDefault="005B1745" w:rsidP="000A6D2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Pension Fund Annual Report and Accounts </w:t>
            </w:r>
            <w:r>
              <w:rPr>
                <w:bCs/>
                <w:szCs w:val="24"/>
              </w:rPr>
              <w:lastRenderedPageBreak/>
              <w:t>2019-20</w:t>
            </w:r>
            <w:r w:rsidR="00D3039D">
              <w:rPr>
                <w:bCs/>
                <w:szCs w:val="24"/>
              </w:rPr>
              <w:t xml:space="preserve"> – Outcome of External Audit</w:t>
            </w:r>
          </w:p>
        </w:tc>
        <w:tc>
          <w:tcPr>
            <w:tcW w:w="4618" w:type="dxa"/>
          </w:tcPr>
          <w:p w14:paraId="077F5B02" w14:textId="0CE46A0D" w:rsidR="005B1745" w:rsidRDefault="005B1745" w:rsidP="000A6D2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 xml:space="preserve">The Committee considered the </w:t>
            </w:r>
            <w:r w:rsidR="00D3039D">
              <w:rPr>
                <w:bCs/>
                <w:szCs w:val="24"/>
              </w:rPr>
              <w:t xml:space="preserve">report from external auditors (Mazars) and was </w:t>
            </w:r>
            <w:r w:rsidR="00D3039D">
              <w:rPr>
                <w:bCs/>
                <w:szCs w:val="24"/>
              </w:rPr>
              <w:lastRenderedPageBreak/>
              <w:t xml:space="preserve">asked to approve the audited documents for publication.  The external auditor’s report is included </w:t>
            </w:r>
            <w:r>
              <w:rPr>
                <w:bCs/>
                <w:szCs w:val="24"/>
              </w:rPr>
              <w:t>in full elsewhere on the agenda</w:t>
            </w:r>
            <w:r w:rsidR="00D3039D">
              <w:rPr>
                <w:bCs/>
                <w:szCs w:val="24"/>
              </w:rPr>
              <w:t xml:space="preserve"> for consideration at this meeting.</w:t>
            </w:r>
          </w:p>
          <w:p w14:paraId="2851CE37" w14:textId="77777777" w:rsidR="005B1745" w:rsidRDefault="005B1745" w:rsidP="00D3039D">
            <w:pPr>
              <w:rPr>
                <w:bCs/>
                <w:szCs w:val="24"/>
              </w:rPr>
            </w:pPr>
          </w:p>
        </w:tc>
      </w:tr>
      <w:tr w:rsidR="00D3039D" w14:paraId="64D3DA3B" w14:textId="77777777" w:rsidTr="000A6D23">
        <w:tc>
          <w:tcPr>
            <w:tcW w:w="2961" w:type="dxa"/>
          </w:tcPr>
          <w:p w14:paraId="61DECDA4" w14:textId="2A365668" w:rsidR="00D3039D" w:rsidRDefault="00D3039D" w:rsidP="000A6D2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 xml:space="preserve">Regulatory Changes and Court Judgements affecting the LGPS </w:t>
            </w:r>
          </w:p>
          <w:p w14:paraId="6C397F10" w14:textId="027F1F42" w:rsidR="00D3039D" w:rsidRDefault="00D3039D" w:rsidP="000A6D23">
            <w:pPr>
              <w:rPr>
                <w:bCs/>
                <w:szCs w:val="24"/>
              </w:rPr>
            </w:pPr>
          </w:p>
        </w:tc>
        <w:tc>
          <w:tcPr>
            <w:tcW w:w="4618" w:type="dxa"/>
          </w:tcPr>
          <w:p w14:paraId="03824660" w14:textId="77777777" w:rsidR="00237539" w:rsidRDefault="00D3039D" w:rsidP="000A6D2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The Committee received a report on several items which are having / will have a significant impact on the administration of the Pension Fund</w:t>
            </w:r>
            <w:r w:rsidR="00237539">
              <w:rPr>
                <w:bCs/>
                <w:szCs w:val="24"/>
              </w:rPr>
              <w:t>.</w:t>
            </w:r>
          </w:p>
          <w:p w14:paraId="4329B8C6" w14:textId="40914258" w:rsidR="00D3039D" w:rsidRDefault="00237539" w:rsidP="000A6D2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In particular</w:t>
            </w:r>
            <w:r w:rsidR="00BC2288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it </w:t>
            </w:r>
            <w:r w:rsidR="00D3039D">
              <w:rPr>
                <w:bCs/>
                <w:szCs w:val="24"/>
              </w:rPr>
              <w:t xml:space="preserve">was asked to </w:t>
            </w:r>
            <w:r>
              <w:rPr>
                <w:bCs/>
                <w:szCs w:val="24"/>
              </w:rPr>
              <w:t>approve the adoption of measures to manage the conflict between the Restriction of Public Sector Exit Payments Regulations 2020 and the current LGPS Regulations</w:t>
            </w:r>
            <w:r w:rsidR="00BC2288">
              <w:rPr>
                <w:bCs/>
                <w:szCs w:val="24"/>
              </w:rPr>
              <w:t>, and to</w:t>
            </w:r>
            <w:r>
              <w:rPr>
                <w:bCs/>
                <w:szCs w:val="24"/>
              </w:rPr>
              <w:t xml:space="preserve"> </w:t>
            </w:r>
            <w:r w:rsidR="00D3039D">
              <w:rPr>
                <w:bCs/>
                <w:szCs w:val="24"/>
              </w:rPr>
              <w:t>endorse the approach being taken to manage th</w:t>
            </w:r>
            <w:r w:rsidR="00BC2288">
              <w:rPr>
                <w:bCs/>
                <w:szCs w:val="24"/>
              </w:rPr>
              <w:t xml:space="preserve">e </w:t>
            </w:r>
            <w:r w:rsidR="00D3039D">
              <w:rPr>
                <w:bCs/>
                <w:szCs w:val="24"/>
              </w:rPr>
              <w:t>impacts</w:t>
            </w:r>
            <w:r w:rsidR="00BC2288">
              <w:rPr>
                <w:bCs/>
                <w:szCs w:val="24"/>
              </w:rPr>
              <w:t xml:space="preserve"> of the other items.</w:t>
            </w:r>
          </w:p>
          <w:p w14:paraId="58B706F2" w14:textId="77777777" w:rsidR="00CC54BC" w:rsidRDefault="00CC54BC" w:rsidP="000A6D23">
            <w:pPr>
              <w:rPr>
                <w:bCs/>
                <w:szCs w:val="24"/>
              </w:rPr>
            </w:pPr>
          </w:p>
          <w:p w14:paraId="74CC833E" w14:textId="6A36F08B" w:rsidR="00D3039D" w:rsidRDefault="00D3039D" w:rsidP="000A6D2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The report is included in full on the agenda for this meeting. </w:t>
            </w:r>
          </w:p>
        </w:tc>
      </w:tr>
      <w:tr w:rsidR="005B1745" w14:paraId="29AE760B" w14:textId="77777777" w:rsidTr="000A6D23">
        <w:tc>
          <w:tcPr>
            <w:tcW w:w="2961" w:type="dxa"/>
          </w:tcPr>
          <w:p w14:paraId="4F62E78F" w14:textId="00B40FA7" w:rsidR="005B1745" w:rsidRDefault="005B1745" w:rsidP="000A6D2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Pension Fund Risk Register</w:t>
            </w:r>
          </w:p>
        </w:tc>
        <w:tc>
          <w:tcPr>
            <w:tcW w:w="4618" w:type="dxa"/>
          </w:tcPr>
          <w:p w14:paraId="08CCCD24" w14:textId="77777777" w:rsidR="00CC54BC" w:rsidRDefault="005B1745" w:rsidP="000A6D2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The Committee reviewed and considered changes to the Pension Fund Risk Register. </w:t>
            </w:r>
          </w:p>
          <w:p w14:paraId="2F5C7268" w14:textId="77777777" w:rsidR="00CC54BC" w:rsidRDefault="00CC54BC" w:rsidP="000A6D23">
            <w:pPr>
              <w:rPr>
                <w:bCs/>
                <w:szCs w:val="24"/>
              </w:rPr>
            </w:pPr>
          </w:p>
          <w:p w14:paraId="6397DFB7" w14:textId="33E6912E" w:rsidR="005B1745" w:rsidRDefault="005B1745" w:rsidP="000A6D2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These documents are reported in full elsewhere on the Board’s agenda for consideration at this meeting.</w:t>
            </w:r>
          </w:p>
          <w:p w14:paraId="546E61E5" w14:textId="77777777" w:rsidR="005B1745" w:rsidRDefault="005B1745" w:rsidP="000A6D23">
            <w:pPr>
              <w:rPr>
                <w:bCs/>
                <w:szCs w:val="24"/>
              </w:rPr>
            </w:pPr>
          </w:p>
        </w:tc>
      </w:tr>
      <w:tr w:rsidR="005B1745" w14:paraId="46B7CDBA" w14:textId="77777777" w:rsidTr="000A6D23">
        <w:tc>
          <w:tcPr>
            <w:tcW w:w="2961" w:type="dxa"/>
          </w:tcPr>
          <w:p w14:paraId="24F35465" w14:textId="77777777" w:rsidR="005B1745" w:rsidRDefault="005B1745" w:rsidP="000A6D23">
            <w:pPr>
              <w:rPr>
                <w:bCs/>
                <w:szCs w:val="24"/>
              </w:rPr>
            </w:pPr>
            <w:r>
              <w:t>Performance Dashboard and Update on Regular items</w:t>
            </w:r>
          </w:p>
        </w:tc>
        <w:tc>
          <w:tcPr>
            <w:tcW w:w="4618" w:type="dxa"/>
          </w:tcPr>
          <w:p w14:paraId="25F97CB6" w14:textId="1AA30455" w:rsidR="005B1745" w:rsidRDefault="005B1745" w:rsidP="000A6D2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The report summarised the position of the Fund at 30 </w:t>
            </w:r>
            <w:r w:rsidR="00D3039D">
              <w:rPr>
                <w:bCs/>
                <w:szCs w:val="24"/>
              </w:rPr>
              <w:t>September</w:t>
            </w:r>
            <w:r>
              <w:rPr>
                <w:bCs/>
                <w:szCs w:val="24"/>
              </w:rPr>
              <w:t xml:space="preserve"> 2020 and set out a proposed work programme for the Committee for the remainder of 2020-21. </w:t>
            </w:r>
          </w:p>
          <w:p w14:paraId="6F3219AC" w14:textId="77777777" w:rsidR="005B1745" w:rsidRDefault="005B1745" w:rsidP="000A6D23">
            <w:pPr>
              <w:rPr>
                <w:bCs/>
                <w:szCs w:val="24"/>
              </w:rPr>
            </w:pPr>
          </w:p>
          <w:p w14:paraId="700FC73B" w14:textId="77777777" w:rsidR="005B1745" w:rsidRDefault="005B1745" w:rsidP="000A6D2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The performance dashboard is attached at appendix 1. </w:t>
            </w:r>
          </w:p>
          <w:p w14:paraId="285B0411" w14:textId="77777777" w:rsidR="005B1745" w:rsidRDefault="005B1745" w:rsidP="000A6D23">
            <w:pPr>
              <w:rPr>
                <w:bCs/>
                <w:szCs w:val="24"/>
              </w:rPr>
            </w:pPr>
          </w:p>
        </w:tc>
      </w:tr>
      <w:tr w:rsidR="005B1745" w14:paraId="1E803C6D" w14:textId="77777777" w:rsidTr="000A6D23">
        <w:tc>
          <w:tcPr>
            <w:tcW w:w="2961" w:type="dxa"/>
          </w:tcPr>
          <w:p w14:paraId="145C3256" w14:textId="77777777" w:rsidR="005B1745" w:rsidRPr="002E7D60" w:rsidRDefault="005B1745" w:rsidP="000A6D23">
            <w:pPr>
              <w:rPr>
                <w:b/>
                <w:szCs w:val="24"/>
              </w:rPr>
            </w:pPr>
            <w:r w:rsidRPr="002E7D60">
              <w:rPr>
                <w:b/>
                <w:szCs w:val="24"/>
              </w:rPr>
              <w:t>Part II</w:t>
            </w:r>
          </w:p>
        </w:tc>
        <w:tc>
          <w:tcPr>
            <w:tcW w:w="4618" w:type="dxa"/>
          </w:tcPr>
          <w:p w14:paraId="3003D7F2" w14:textId="77777777" w:rsidR="005B1745" w:rsidRDefault="005B1745" w:rsidP="000A6D23">
            <w:pPr>
              <w:rPr>
                <w:bCs/>
                <w:szCs w:val="24"/>
              </w:rPr>
            </w:pPr>
          </w:p>
        </w:tc>
      </w:tr>
      <w:tr w:rsidR="005B1745" w14:paraId="73418458" w14:textId="77777777" w:rsidTr="000A6D23">
        <w:tc>
          <w:tcPr>
            <w:tcW w:w="2961" w:type="dxa"/>
          </w:tcPr>
          <w:p w14:paraId="389AEF73" w14:textId="77777777" w:rsidR="005B1745" w:rsidRDefault="005B1745" w:rsidP="000A6D2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Investment Strategy Review</w:t>
            </w:r>
          </w:p>
        </w:tc>
        <w:tc>
          <w:tcPr>
            <w:tcW w:w="4618" w:type="dxa"/>
          </w:tcPr>
          <w:p w14:paraId="2AE0DE0E" w14:textId="229BF803" w:rsidR="005B1745" w:rsidRDefault="005B1745" w:rsidP="000A6D23">
            <w:pPr>
              <w:rPr>
                <w:szCs w:val="24"/>
              </w:rPr>
            </w:pPr>
            <w:r w:rsidRPr="00AE089B">
              <w:rPr>
                <w:szCs w:val="24"/>
              </w:rPr>
              <w:t>Members received a confidential report of the Director of Finance</w:t>
            </w:r>
            <w:r>
              <w:rPr>
                <w:szCs w:val="24"/>
              </w:rPr>
              <w:t xml:space="preserve"> and Assurance</w:t>
            </w:r>
            <w:r w:rsidRPr="00AE089B">
              <w:rPr>
                <w:szCs w:val="24"/>
              </w:rPr>
              <w:t xml:space="preserve"> on </w:t>
            </w:r>
            <w:r>
              <w:rPr>
                <w:szCs w:val="24"/>
              </w:rPr>
              <w:t xml:space="preserve">the </w:t>
            </w:r>
            <w:r w:rsidRPr="00AE089B">
              <w:rPr>
                <w:szCs w:val="24"/>
              </w:rPr>
              <w:t xml:space="preserve">Investment Strategy Review </w:t>
            </w:r>
            <w:r>
              <w:rPr>
                <w:szCs w:val="24"/>
              </w:rPr>
              <w:t xml:space="preserve">and were recommended to </w:t>
            </w:r>
            <w:r w:rsidR="00D3039D">
              <w:rPr>
                <w:szCs w:val="24"/>
              </w:rPr>
              <w:t xml:space="preserve">approve a number of </w:t>
            </w:r>
            <w:r w:rsidRPr="00AE089B">
              <w:rPr>
                <w:szCs w:val="24"/>
              </w:rPr>
              <w:t>actions to progress the Review</w:t>
            </w:r>
            <w:r>
              <w:rPr>
                <w:szCs w:val="24"/>
              </w:rPr>
              <w:t xml:space="preserve">. </w:t>
            </w:r>
            <w:r w:rsidRPr="00AE089B">
              <w:rPr>
                <w:szCs w:val="24"/>
              </w:rPr>
              <w:t xml:space="preserve">  </w:t>
            </w:r>
          </w:p>
          <w:p w14:paraId="0FB3794F" w14:textId="77777777" w:rsidR="005B1745" w:rsidRDefault="005B1745" w:rsidP="000A6D23">
            <w:pPr>
              <w:rPr>
                <w:bCs/>
                <w:szCs w:val="24"/>
              </w:rPr>
            </w:pPr>
          </w:p>
        </w:tc>
      </w:tr>
    </w:tbl>
    <w:p w14:paraId="634D67EE" w14:textId="77777777" w:rsidR="005B1745" w:rsidRPr="005A6D20" w:rsidRDefault="005B1745" w:rsidP="005B1745">
      <w:pPr>
        <w:ind w:left="720"/>
        <w:rPr>
          <w:bCs/>
          <w:szCs w:val="24"/>
        </w:rPr>
      </w:pPr>
    </w:p>
    <w:p w14:paraId="551B8B85" w14:textId="61EC9E66" w:rsidR="005B1745" w:rsidRDefault="005B1745" w:rsidP="005B1745">
      <w:pPr>
        <w:numPr>
          <w:ilvl w:val="0"/>
          <w:numId w:val="21"/>
        </w:numPr>
        <w:jc w:val="both"/>
        <w:rPr>
          <w:szCs w:val="24"/>
        </w:rPr>
      </w:pPr>
      <w:r w:rsidRPr="004E4D52">
        <w:rPr>
          <w:szCs w:val="24"/>
        </w:rPr>
        <w:t>The timing of th</w:t>
      </w:r>
      <w:r w:rsidR="00237539">
        <w:rPr>
          <w:szCs w:val="24"/>
        </w:rPr>
        <w:t>is</w:t>
      </w:r>
      <w:r w:rsidRPr="004E4D52">
        <w:rPr>
          <w:szCs w:val="24"/>
        </w:rPr>
        <w:t xml:space="preserve"> meeting of th</w:t>
      </w:r>
      <w:r w:rsidR="00237539">
        <w:rPr>
          <w:szCs w:val="24"/>
        </w:rPr>
        <w:t>e</w:t>
      </w:r>
      <w:r w:rsidRPr="004E4D52">
        <w:rPr>
          <w:szCs w:val="24"/>
        </w:rPr>
        <w:t xml:space="preserve"> Board </w:t>
      </w:r>
      <w:r>
        <w:rPr>
          <w:szCs w:val="24"/>
        </w:rPr>
        <w:t xml:space="preserve">means that the Committee’s meeting took place after publication of this agenda. The decisions made by the Committee will be reported at the meeting. </w:t>
      </w:r>
    </w:p>
    <w:p w14:paraId="6907C933" w14:textId="77777777" w:rsidR="00682452" w:rsidRDefault="00682452" w:rsidP="00682452">
      <w:pPr>
        <w:ind w:left="720"/>
        <w:jc w:val="both"/>
        <w:rPr>
          <w:szCs w:val="24"/>
        </w:rPr>
      </w:pPr>
    </w:p>
    <w:p w14:paraId="0B404394" w14:textId="4203B476" w:rsidR="00682452" w:rsidRDefault="00682452" w:rsidP="005B1745">
      <w:pPr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>A training session was held i</w:t>
      </w:r>
      <w:r w:rsidRPr="00134C8C">
        <w:rPr>
          <w:szCs w:val="24"/>
        </w:rPr>
        <w:t xml:space="preserve">mmediately before the </w:t>
      </w:r>
      <w:r>
        <w:rPr>
          <w:szCs w:val="24"/>
        </w:rPr>
        <w:t xml:space="preserve">Committee </w:t>
      </w:r>
      <w:r w:rsidRPr="00134C8C">
        <w:rPr>
          <w:szCs w:val="24"/>
        </w:rPr>
        <w:t>meeting,</w:t>
      </w:r>
      <w:r>
        <w:rPr>
          <w:szCs w:val="24"/>
        </w:rPr>
        <w:t xml:space="preserve"> to which all Pension Board members were invited. This included a presentation by officers from the London CIV. </w:t>
      </w:r>
    </w:p>
    <w:p w14:paraId="5DDD3787" w14:textId="77777777" w:rsidR="008658CB" w:rsidRDefault="008658CB" w:rsidP="008658CB">
      <w:pPr>
        <w:pStyle w:val="Heading2"/>
      </w:pPr>
      <w:r>
        <w:lastRenderedPageBreak/>
        <w:t>Legal Implications</w:t>
      </w:r>
    </w:p>
    <w:p w14:paraId="64ACA4D3" w14:textId="4E3C290A" w:rsidR="008658CB" w:rsidRPr="008658CB" w:rsidRDefault="008658CB" w:rsidP="008658CB">
      <w:pPr>
        <w:pStyle w:val="ListParagraph"/>
        <w:rPr>
          <w:b/>
          <w:bCs/>
          <w:color w:val="0000FF"/>
          <w:sz w:val="24"/>
          <w:szCs w:val="24"/>
        </w:rPr>
      </w:pPr>
    </w:p>
    <w:p w14:paraId="4D1411B2" w14:textId="1BFF718D" w:rsidR="008658CB" w:rsidRPr="008658CB" w:rsidRDefault="008658CB" w:rsidP="005B1745">
      <w:pPr>
        <w:pStyle w:val="ListParagraph"/>
        <w:numPr>
          <w:ilvl w:val="0"/>
          <w:numId w:val="21"/>
        </w:numPr>
        <w:rPr>
          <w:b/>
          <w:bCs/>
          <w:color w:val="0000FF"/>
          <w:sz w:val="24"/>
          <w:szCs w:val="24"/>
        </w:rPr>
      </w:pPr>
      <w:r w:rsidRPr="008658CB">
        <w:rPr>
          <w:sz w:val="24"/>
          <w:szCs w:val="24"/>
        </w:rPr>
        <w:t xml:space="preserve">There are no </w:t>
      </w:r>
      <w:r w:rsidR="00411E6E">
        <w:rPr>
          <w:sz w:val="24"/>
          <w:szCs w:val="24"/>
        </w:rPr>
        <w:t xml:space="preserve">direct </w:t>
      </w:r>
      <w:r w:rsidRPr="008658CB">
        <w:rPr>
          <w:sz w:val="24"/>
          <w:szCs w:val="24"/>
        </w:rPr>
        <w:t>legal implications arising from this report.</w:t>
      </w:r>
    </w:p>
    <w:p w14:paraId="44EB884D" w14:textId="77777777" w:rsidR="002A2389" w:rsidRDefault="002A2389" w:rsidP="003D2FFE">
      <w:pPr>
        <w:pStyle w:val="Heading2"/>
        <w:spacing w:after="240"/>
      </w:pPr>
      <w:r>
        <w:t>Financial Implications</w:t>
      </w:r>
    </w:p>
    <w:p w14:paraId="6EB8D34B" w14:textId="2B08533B" w:rsidR="008658CB" w:rsidRPr="00411E6E" w:rsidRDefault="008658CB" w:rsidP="005B1745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411E6E">
        <w:rPr>
          <w:sz w:val="24"/>
          <w:szCs w:val="24"/>
          <w:lang w:val="en-US"/>
        </w:rPr>
        <w:t>Whilst the performance and effective controls of the fund managers is of paramount importance in the performance of the Pension Fund, there are no financial implications arising from this report.</w:t>
      </w:r>
    </w:p>
    <w:p w14:paraId="66A82D3B" w14:textId="77777777" w:rsidR="00C32DAE" w:rsidRPr="003D2FFE" w:rsidRDefault="00C32DAE" w:rsidP="003D2FFE">
      <w:pPr>
        <w:pStyle w:val="Heading2"/>
        <w:spacing w:after="240"/>
      </w:pPr>
      <w:r>
        <w:t>Risk Management Implications</w:t>
      </w:r>
    </w:p>
    <w:p w14:paraId="359A4B19" w14:textId="05E5027C" w:rsidR="00213BE7" w:rsidRPr="00237539" w:rsidRDefault="00682452" w:rsidP="00213BE7">
      <w:pPr>
        <w:pStyle w:val="infotext0"/>
        <w:numPr>
          <w:ilvl w:val="0"/>
          <w:numId w:val="21"/>
        </w:numPr>
        <w:spacing w:before="0" w:beforeAutospacing="0" w:after="0" w:afterAutospacing="0"/>
        <w:ind w:right="81"/>
        <w:rPr>
          <w:color w:val="0000FF"/>
        </w:rPr>
      </w:pPr>
      <w:r w:rsidRPr="00237539">
        <w:rPr>
          <w:rFonts w:ascii="Arial" w:hAnsi="Arial" w:cs="Arial"/>
        </w:rPr>
        <w:t xml:space="preserve">Relevant risks are included in the Pension Fund risk register, which is reported elsewhere on this agenda. </w:t>
      </w:r>
    </w:p>
    <w:p w14:paraId="7B3FC99B" w14:textId="77777777" w:rsidR="00FD31A0" w:rsidRDefault="00FD31A0" w:rsidP="003D2FFE">
      <w:pPr>
        <w:pStyle w:val="Heading2"/>
        <w:keepNext/>
        <w:spacing w:after="240"/>
      </w:pPr>
      <w:r w:rsidRPr="004A2543">
        <w:t>Equalities implications</w:t>
      </w:r>
      <w:r w:rsidR="00213BE7">
        <w:t xml:space="preserve"> / Public Sector Equality Duty </w:t>
      </w:r>
    </w:p>
    <w:p w14:paraId="2F807F4E" w14:textId="6FA0A455" w:rsidR="00290D52" w:rsidRPr="00682452" w:rsidRDefault="00FD31A0" w:rsidP="005B1745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682452">
        <w:rPr>
          <w:sz w:val="24"/>
          <w:szCs w:val="24"/>
        </w:rPr>
        <w:t>Was an Equality Impact Assessment carried out?  No</w:t>
      </w:r>
    </w:p>
    <w:p w14:paraId="7F1944C7" w14:textId="707B83DE" w:rsidR="00FD31A0" w:rsidRPr="00682452" w:rsidRDefault="00A175BD" w:rsidP="00FE48AA">
      <w:pPr>
        <w:pStyle w:val="ListParagraph"/>
        <w:rPr>
          <w:sz w:val="24"/>
          <w:szCs w:val="24"/>
        </w:rPr>
      </w:pPr>
      <w:r w:rsidRPr="00682452">
        <w:rPr>
          <w:sz w:val="24"/>
          <w:szCs w:val="24"/>
        </w:rPr>
        <w:t xml:space="preserve">There are no direct equalities implications arising from this report. </w:t>
      </w:r>
    </w:p>
    <w:p w14:paraId="44F55C42" w14:textId="77777777" w:rsidR="004B4A47" w:rsidRPr="00CD57D8" w:rsidRDefault="00AC0AAB" w:rsidP="00912904">
      <w:pPr>
        <w:pStyle w:val="Heading2"/>
        <w:spacing w:after="240"/>
      </w:pPr>
      <w:r>
        <w:t xml:space="preserve">Council </w:t>
      </w:r>
      <w:r w:rsidR="004B4A47" w:rsidRPr="00CD57D8">
        <w:t>Priorities</w:t>
      </w:r>
    </w:p>
    <w:p w14:paraId="40952285" w14:textId="4D85927C" w:rsidR="00EF2F91" w:rsidRPr="00400032" w:rsidRDefault="00A175BD" w:rsidP="00EF2F91">
      <w:pPr>
        <w:pStyle w:val="ListParagraph"/>
        <w:numPr>
          <w:ilvl w:val="0"/>
          <w:numId w:val="21"/>
        </w:numPr>
      </w:pPr>
      <w:r w:rsidRPr="00682452">
        <w:rPr>
          <w:sz w:val="24"/>
          <w:szCs w:val="24"/>
          <w:lang w:val="en-US"/>
        </w:rPr>
        <w:t>The performance of the Pension Fund directly affects the level of employer contribution which then, in turn, affects the resources available for the Council’s priorities</w:t>
      </w:r>
      <w:r w:rsidR="00237539">
        <w:rPr>
          <w:sz w:val="24"/>
          <w:szCs w:val="24"/>
          <w:lang w:val="en-US"/>
        </w:rPr>
        <w:t>.</w:t>
      </w:r>
    </w:p>
    <w:p w14:paraId="2DA0FC28" w14:textId="77777777" w:rsidR="002A2389" w:rsidRDefault="002A2389" w:rsidP="00912904">
      <w:pPr>
        <w:pStyle w:val="Heading2"/>
      </w:pPr>
      <w:r>
        <w:t>Section 3 - Statutory Officer Clearance</w:t>
      </w:r>
    </w:p>
    <w:p w14:paraId="6C41FB87" w14:textId="77777777" w:rsidR="002A2389" w:rsidRDefault="002A2389" w:rsidP="008D1750">
      <w:pPr>
        <w:keepNext/>
        <w:rPr>
          <w:rFonts w:cs="Arial"/>
        </w:rPr>
      </w:pPr>
    </w:p>
    <w:p w14:paraId="3A5B6BE5" w14:textId="2EEBAABD" w:rsidR="00912904" w:rsidRPr="00A66326" w:rsidRDefault="00912904" w:rsidP="00912904">
      <w:pPr>
        <w:rPr>
          <w:sz w:val="28"/>
        </w:rPr>
      </w:pPr>
      <w:r w:rsidRPr="00A66326">
        <w:rPr>
          <w:b/>
          <w:sz w:val="28"/>
        </w:rPr>
        <w:t xml:space="preserve">Statutory Officer:  </w:t>
      </w:r>
      <w:r w:rsidR="005B1907">
        <w:rPr>
          <w:b/>
          <w:sz w:val="28"/>
        </w:rPr>
        <w:t>Dawn Calvert</w:t>
      </w:r>
    </w:p>
    <w:p w14:paraId="604701C9" w14:textId="3E587F7C" w:rsidR="00912904" w:rsidRPr="00A66326" w:rsidRDefault="00912904" w:rsidP="00912904">
      <w:r w:rsidRPr="00A66326">
        <w:t>Signed by the Chief Financial Officer</w:t>
      </w:r>
    </w:p>
    <w:p w14:paraId="71343773" w14:textId="7B1F5291" w:rsidR="00912904" w:rsidRPr="00A66326" w:rsidRDefault="00912904" w:rsidP="00912904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 </w:t>
      </w:r>
      <w:r w:rsidR="005B1907">
        <w:rPr>
          <w:b/>
          <w:sz w:val="28"/>
        </w:rPr>
        <w:t>19 November 2020</w:t>
      </w:r>
    </w:p>
    <w:p w14:paraId="7B402CA3" w14:textId="65037CD7" w:rsidR="00912904" w:rsidRPr="00A66326" w:rsidRDefault="00912904" w:rsidP="00912904">
      <w:pPr>
        <w:rPr>
          <w:sz w:val="28"/>
        </w:rPr>
      </w:pPr>
      <w:r w:rsidRPr="00A66326">
        <w:rPr>
          <w:b/>
          <w:sz w:val="28"/>
        </w:rPr>
        <w:t xml:space="preserve">Statutory Officer:  </w:t>
      </w:r>
      <w:r w:rsidR="00BC2288">
        <w:rPr>
          <w:b/>
          <w:sz w:val="28"/>
        </w:rPr>
        <w:t>David Hodge</w:t>
      </w:r>
    </w:p>
    <w:p w14:paraId="67FD5EC6" w14:textId="493F7400" w:rsidR="00912904" w:rsidRPr="00A66326" w:rsidRDefault="00912904" w:rsidP="00912904">
      <w:r w:rsidRPr="00A66326">
        <w:t>Signed on behalf of the Monitoring Officer</w:t>
      </w:r>
    </w:p>
    <w:p w14:paraId="599ECFC9" w14:textId="786EB21B" w:rsidR="00912904" w:rsidRPr="003313EA" w:rsidRDefault="00912904" w:rsidP="00912904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 </w:t>
      </w:r>
      <w:r w:rsidR="00BC2288">
        <w:rPr>
          <w:b/>
          <w:sz w:val="28"/>
        </w:rPr>
        <w:t>17 November 2020</w:t>
      </w:r>
    </w:p>
    <w:p w14:paraId="3C9645DC" w14:textId="64292E4B" w:rsidR="00912904" w:rsidRPr="00A66326" w:rsidRDefault="00912904" w:rsidP="00912904">
      <w:pPr>
        <w:rPr>
          <w:sz w:val="28"/>
        </w:rPr>
      </w:pPr>
      <w:r w:rsidRPr="00A66326">
        <w:rPr>
          <w:b/>
          <w:sz w:val="28"/>
        </w:rPr>
        <w:t xml:space="preserve">Statutory Officer:  </w:t>
      </w:r>
      <w:r w:rsidR="002C094D">
        <w:rPr>
          <w:b/>
          <w:sz w:val="28"/>
        </w:rPr>
        <w:t>Charlie Stewart</w:t>
      </w:r>
    </w:p>
    <w:p w14:paraId="6C02DBB7" w14:textId="77777777" w:rsidR="00912904" w:rsidRPr="00A66326" w:rsidRDefault="00365D29" w:rsidP="00912904">
      <w:r>
        <w:t>Signed</w:t>
      </w:r>
      <w:r w:rsidR="00912904" w:rsidRPr="00A66326">
        <w:t xml:space="preserve"> by the Corporate Director</w:t>
      </w:r>
    </w:p>
    <w:p w14:paraId="4624AD42" w14:textId="77AB5010" w:rsidR="00912904" w:rsidRPr="00A66326" w:rsidRDefault="00912904" w:rsidP="00912904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 </w:t>
      </w:r>
      <w:r w:rsidR="002C094D">
        <w:rPr>
          <w:b/>
          <w:sz w:val="28"/>
        </w:rPr>
        <w:t>17 November 2020</w:t>
      </w:r>
    </w:p>
    <w:p w14:paraId="08178E5A" w14:textId="77777777" w:rsidR="00912904" w:rsidRPr="00435B5D" w:rsidRDefault="00912904" w:rsidP="00912904">
      <w:pPr>
        <w:pStyle w:val="Heading2"/>
        <w:spacing w:after="240"/>
      </w:pPr>
      <w:r>
        <w:lastRenderedPageBreak/>
        <w:t>Mandatory Checks</w:t>
      </w:r>
    </w:p>
    <w:p w14:paraId="0ABCD037" w14:textId="7AE4E110" w:rsidR="00912904" w:rsidRPr="00E90AFF" w:rsidRDefault="00912904" w:rsidP="00E90AFF">
      <w:pPr>
        <w:pStyle w:val="Heading3"/>
        <w:ind w:left="0" w:firstLine="0"/>
        <w:rPr>
          <w:sz w:val="28"/>
        </w:rPr>
      </w:pPr>
      <w:r w:rsidRPr="00E90AFF">
        <w:rPr>
          <w:sz w:val="28"/>
        </w:rPr>
        <w:t>Ward Councillors notified:  NO</w:t>
      </w:r>
    </w:p>
    <w:p w14:paraId="120A0EC6" w14:textId="77777777" w:rsidR="002A2389" w:rsidRDefault="002A2389" w:rsidP="00912904">
      <w:pPr>
        <w:pStyle w:val="Heading2"/>
        <w:keepNext/>
        <w:spacing w:after="240"/>
      </w:pPr>
      <w:r>
        <w:t>Section 4 - Contact Details and Background Papers</w:t>
      </w:r>
    </w:p>
    <w:p w14:paraId="3699E95B" w14:textId="77777777" w:rsidR="00A175BD" w:rsidRPr="00A175BD" w:rsidRDefault="002A2389">
      <w:pPr>
        <w:pStyle w:val="Infotext"/>
        <w:rPr>
          <w:sz w:val="24"/>
          <w:szCs w:val="24"/>
        </w:rPr>
      </w:pPr>
      <w:r w:rsidRPr="00D914D2">
        <w:rPr>
          <w:b/>
        </w:rPr>
        <w:t>Contact:</w:t>
      </w:r>
      <w:r>
        <w:t xml:space="preserve">  </w:t>
      </w:r>
      <w:r w:rsidR="00A175BD" w:rsidRPr="00A175BD">
        <w:rPr>
          <w:sz w:val="24"/>
          <w:szCs w:val="24"/>
        </w:rPr>
        <w:t>Jeremy Randall – Interim Pensions Consultant</w:t>
      </w:r>
    </w:p>
    <w:p w14:paraId="26E575A2" w14:textId="07D80D8C" w:rsidR="002A2389" w:rsidRPr="00A175BD" w:rsidRDefault="00A175BD">
      <w:pPr>
        <w:pStyle w:val="Infotext"/>
        <w:rPr>
          <w:sz w:val="24"/>
          <w:szCs w:val="24"/>
        </w:rPr>
      </w:pPr>
      <w:r w:rsidRPr="00A175BD">
        <w:rPr>
          <w:sz w:val="24"/>
          <w:szCs w:val="24"/>
        </w:rPr>
        <w:t xml:space="preserve">Email: </w:t>
      </w:r>
      <w:hyperlink r:id="rId9" w:tooltip="email jeremy.randall@harrow.gov.uk " w:history="1">
        <w:r w:rsidRPr="00A175BD">
          <w:rPr>
            <w:rStyle w:val="Hyperlink"/>
            <w:sz w:val="24"/>
            <w:szCs w:val="24"/>
          </w:rPr>
          <w:t>Jeremy.randall@harrow.gov.uk</w:t>
        </w:r>
      </w:hyperlink>
      <w:r w:rsidRPr="00A175BD">
        <w:rPr>
          <w:sz w:val="24"/>
          <w:szCs w:val="24"/>
        </w:rPr>
        <w:t xml:space="preserve"> </w:t>
      </w:r>
    </w:p>
    <w:p w14:paraId="6FE4CF01" w14:textId="367ECD01" w:rsidR="002A2389" w:rsidRDefault="002A2389" w:rsidP="00D93893">
      <w:pPr>
        <w:pStyle w:val="Infotext"/>
        <w:spacing w:before="360"/>
      </w:pPr>
      <w:r w:rsidRPr="00D914D2">
        <w:rPr>
          <w:b/>
        </w:rPr>
        <w:t>Background Papers</w:t>
      </w:r>
      <w:r>
        <w:t xml:space="preserve">:  </w:t>
      </w:r>
      <w:r w:rsidR="00A175BD" w:rsidRPr="00A175BD">
        <w:rPr>
          <w:sz w:val="24"/>
          <w:szCs w:val="24"/>
        </w:rPr>
        <w:t>None</w:t>
      </w:r>
      <w:r w:rsidR="00A175BD">
        <w:t xml:space="preserve"> </w:t>
      </w:r>
      <w:bookmarkStart w:id="0" w:name="_GoBack"/>
      <w:bookmarkEnd w:id="0"/>
    </w:p>
    <w:sectPr w:rsidR="002A2389" w:rsidSect="00FF71E5">
      <w:type w:val="continuous"/>
      <w:pgSz w:w="11909" w:h="16834" w:code="9"/>
      <w:pgMar w:top="1008" w:right="1800" w:bottom="1152" w:left="180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F226D" w14:textId="77777777" w:rsidR="00E609EF" w:rsidRDefault="00E609EF">
      <w:r>
        <w:separator/>
      </w:r>
    </w:p>
  </w:endnote>
  <w:endnote w:type="continuationSeparator" w:id="0">
    <w:p w14:paraId="7F724BC6" w14:textId="77777777" w:rsidR="00E609EF" w:rsidRDefault="00E6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A80C3A" w14:textId="77777777" w:rsidR="00E609EF" w:rsidRDefault="00E609EF">
      <w:r>
        <w:separator/>
      </w:r>
    </w:p>
  </w:footnote>
  <w:footnote w:type="continuationSeparator" w:id="0">
    <w:p w14:paraId="228C3583" w14:textId="77777777" w:rsidR="00E609EF" w:rsidRDefault="00E60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2281C"/>
    <w:multiLevelType w:val="hybridMultilevel"/>
    <w:tmpl w:val="E594004A"/>
    <w:lvl w:ilvl="0" w:tplc="75F6ED5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A01BFE"/>
    <w:multiLevelType w:val="hybridMultilevel"/>
    <w:tmpl w:val="43A8E00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22A1A"/>
    <w:multiLevelType w:val="hybridMultilevel"/>
    <w:tmpl w:val="5BA42F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45D48"/>
    <w:multiLevelType w:val="hybridMultilevel"/>
    <w:tmpl w:val="B2CA8E74"/>
    <w:lvl w:ilvl="0" w:tplc="365A6E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B7971"/>
    <w:multiLevelType w:val="hybridMultilevel"/>
    <w:tmpl w:val="76B0ACDE"/>
    <w:lvl w:ilvl="0" w:tplc="CD023CC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E0B17"/>
    <w:multiLevelType w:val="hybridMultilevel"/>
    <w:tmpl w:val="9A0C48C8"/>
    <w:lvl w:ilvl="0" w:tplc="2514E29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B5A02"/>
    <w:multiLevelType w:val="hybridMultilevel"/>
    <w:tmpl w:val="8B52685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65662"/>
    <w:multiLevelType w:val="hybridMultilevel"/>
    <w:tmpl w:val="BDAAC5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61A49"/>
    <w:multiLevelType w:val="hybridMultilevel"/>
    <w:tmpl w:val="113A43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3D335A"/>
    <w:multiLevelType w:val="hybridMultilevel"/>
    <w:tmpl w:val="C1D8F5DA"/>
    <w:lvl w:ilvl="0" w:tplc="F6CA435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4120EA9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DC3909"/>
    <w:multiLevelType w:val="hybridMultilevel"/>
    <w:tmpl w:val="A9162E52"/>
    <w:lvl w:ilvl="0" w:tplc="113ECF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3FF43A2F"/>
    <w:multiLevelType w:val="hybridMultilevel"/>
    <w:tmpl w:val="501836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3170DE"/>
    <w:multiLevelType w:val="hybridMultilevel"/>
    <w:tmpl w:val="A800A568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D32052"/>
    <w:multiLevelType w:val="hybridMultilevel"/>
    <w:tmpl w:val="4C3E49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A5676D"/>
    <w:multiLevelType w:val="hybridMultilevel"/>
    <w:tmpl w:val="0F7EA04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3028D4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CF2AEE"/>
    <w:multiLevelType w:val="hybridMultilevel"/>
    <w:tmpl w:val="46906B5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8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6"/>
  </w:num>
  <w:num w:numId="9">
    <w:abstractNumId w:val="4"/>
  </w:num>
  <w:num w:numId="10">
    <w:abstractNumId w:val="17"/>
  </w:num>
  <w:num w:numId="11">
    <w:abstractNumId w:val="20"/>
  </w:num>
  <w:num w:numId="12">
    <w:abstractNumId w:val="15"/>
  </w:num>
  <w:num w:numId="13">
    <w:abstractNumId w:val="2"/>
  </w:num>
  <w:num w:numId="14">
    <w:abstractNumId w:val="7"/>
  </w:num>
  <w:num w:numId="15">
    <w:abstractNumId w:val="10"/>
  </w:num>
  <w:num w:numId="16">
    <w:abstractNumId w:val="13"/>
  </w:num>
  <w:num w:numId="17">
    <w:abstractNumId w:val="3"/>
  </w:num>
  <w:num w:numId="18">
    <w:abstractNumId w:val="0"/>
  </w:num>
  <w:num w:numId="19">
    <w:abstractNumId w:val="9"/>
  </w:num>
  <w:num w:numId="20">
    <w:abstractNumId w:val="8"/>
  </w:num>
  <w:num w:numId="21">
    <w:abstractNumId w:val="1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03"/>
    <w:rsid w:val="00057F10"/>
    <w:rsid w:val="000633A2"/>
    <w:rsid w:val="00071EB4"/>
    <w:rsid w:val="00077298"/>
    <w:rsid w:val="000A58A1"/>
    <w:rsid w:val="000A6659"/>
    <w:rsid w:val="000B0E6F"/>
    <w:rsid w:val="000B6DBB"/>
    <w:rsid w:val="000D2BF2"/>
    <w:rsid w:val="000F65C0"/>
    <w:rsid w:val="00115AD2"/>
    <w:rsid w:val="001939BA"/>
    <w:rsid w:val="001A6EB0"/>
    <w:rsid w:val="001B441D"/>
    <w:rsid w:val="001C5225"/>
    <w:rsid w:val="001E0219"/>
    <w:rsid w:val="00207FEE"/>
    <w:rsid w:val="00213BE7"/>
    <w:rsid w:val="00231A1D"/>
    <w:rsid w:val="00235478"/>
    <w:rsid w:val="00237539"/>
    <w:rsid w:val="00244120"/>
    <w:rsid w:val="00290D52"/>
    <w:rsid w:val="00293F9F"/>
    <w:rsid w:val="002A2389"/>
    <w:rsid w:val="002C08E2"/>
    <w:rsid w:val="002C094D"/>
    <w:rsid w:val="002C1794"/>
    <w:rsid w:val="002E6637"/>
    <w:rsid w:val="002E77E3"/>
    <w:rsid w:val="00332947"/>
    <w:rsid w:val="00333EB4"/>
    <w:rsid w:val="00345915"/>
    <w:rsid w:val="0035511A"/>
    <w:rsid w:val="00362B80"/>
    <w:rsid w:val="00365D29"/>
    <w:rsid w:val="00374F22"/>
    <w:rsid w:val="003D2FFE"/>
    <w:rsid w:val="003D6B2E"/>
    <w:rsid w:val="00400032"/>
    <w:rsid w:val="00411E6E"/>
    <w:rsid w:val="0042394B"/>
    <w:rsid w:val="004450AA"/>
    <w:rsid w:val="00473B08"/>
    <w:rsid w:val="00474B5F"/>
    <w:rsid w:val="004A3CE6"/>
    <w:rsid w:val="004B2C9D"/>
    <w:rsid w:val="004B4A47"/>
    <w:rsid w:val="004E667D"/>
    <w:rsid w:val="004E6AF9"/>
    <w:rsid w:val="005031DF"/>
    <w:rsid w:val="00571483"/>
    <w:rsid w:val="00576A04"/>
    <w:rsid w:val="00597314"/>
    <w:rsid w:val="005A61AF"/>
    <w:rsid w:val="005B1745"/>
    <w:rsid w:val="005B1907"/>
    <w:rsid w:val="005D0886"/>
    <w:rsid w:val="005E384D"/>
    <w:rsid w:val="005F2181"/>
    <w:rsid w:val="005F724B"/>
    <w:rsid w:val="00625DFF"/>
    <w:rsid w:val="0063072B"/>
    <w:rsid w:val="00655125"/>
    <w:rsid w:val="00662891"/>
    <w:rsid w:val="006628B7"/>
    <w:rsid w:val="00675FCB"/>
    <w:rsid w:val="00682452"/>
    <w:rsid w:val="00696CD9"/>
    <w:rsid w:val="006A693F"/>
    <w:rsid w:val="006C3914"/>
    <w:rsid w:val="006D3648"/>
    <w:rsid w:val="0074184E"/>
    <w:rsid w:val="00743829"/>
    <w:rsid w:val="00755F8D"/>
    <w:rsid w:val="00796503"/>
    <w:rsid w:val="007D20F8"/>
    <w:rsid w:val="007D2BDA"/>
    <w:rsid w:val="007D56C8"/>
    <w:rsid w:val="007D660F"/>
    <w:rsid w:val="007E3934"/>
    <w:rsid w:val="007E7303"/>
    <w:rsid w:val="00815521"/>
    <w:rsid w:val="008212A0"/>
    <w:rsid w:val="00837F53"/>
    <w:rsid w:val="008658CB"/>
    <w:rsid w:val="00883622"/>
    <w:rsid w:val="008D1750"/>
    <w:rsid w:val="008D7800"/>
    <w:rsid w:val="008E2910"/>
    <w:rsid w:val="008E4913"/>
    <w:rsid w:val="00900464"/>
    <w:rsid w:val="0090100E"/>
    <w:rsid w:val="00912904"/>
    <w:rsid w:val="0093767E"/>
    <w:rsid w:val="00972A02"/>
    <w:rsid w:val="0099517C"/>
    <w:rsid w:val="009A0937"/>
    <w:rsid w:val="009B2ECD"/>
    <w:rsid w:val="009B7914"/>
    <w:rsid w:val="009F430B"/>
    <w:rsid w:val="00A160B2"/>
    <w:rsid w:val="00A175BD"/>
    <w:rsid w:val="00A566E7"/>
    <w:rsid w:val="00A61BB7"/>
    <w:rsid w:val="00A65DA7"/>
    <w:rsid w:val="00A940D3"/>
    <w:rsid w:val="00A96FCA"/>
    <w:rsid w:val="00AA4BE8"/>
    <w:rsid w:val="00AC0AAB"/>
    <w:rsid w:val="00AC7BA9"/>
    <w:rsid w:val="00B0425E"/>
    <w:rsid w:val="00B900E2"/>
    <w:rsid w:val="00B9118E"/>
    <w:rsid w:val="00BC2288"/>
    <w:rsid w:val="00BD6115"/>
    <w:rsid w:val="00BD684A"/>
    <w:rsid w:val="00C266FE"/>
    <w:rsid w:val="00C32DAE"/>
    <w:rsid w:val="00C40E24"/>
    <w:rsid w:val="00C61B80"/>
    <w:rsid w:val="00C92D9A"/>
    <w:rsid w:val="00C96EF5"/>
    <w:rsid w:val="00CA3AB9"/>
    <w:rsid w:val="00CC50AF"/>
    <w:rsid w:val="00CC54BC"/>
    <w:rsid w:val="00CE6757"/>
    <w:rsid w:val="00D16A42"/>
    <w:rsid w:val="00D25064"/>
    <w:rsid w:val="00D3039D"/>
    <w:rsid w:val="00D32B51"/>
    <w:rsid w:val="00D34668"/>
    <w:rsid w:val="00D3740E"/>
    <w:rsid w:val="00D40335"/>
    <w:rsid w:val="00D8108C"/>
    <w:rsid w:val="00D82F57"/>
    <w:rsid w:val="00D841A5"/>
    <w:rsid w:val="00D914D2"/>
    <w:rsid w:val="00D93893"/>
    <w:rsid w:val="00DA25DB"/>
    <w:rsid w:val="00DB0791"/>
    <w:rsid w:val="00DD4251"/>
    <w:rsid w:val="00E02B50"/>
    <w:rsid w:val="00E03F11"/>
    <w:rsid w:val="00E06DC8"/>
    <w:rsid w:val="00E220B5"/>
    <w:rsid w:val="00E33D93"/>
    <w:rsid w:val="00E60637"/>
    <w:rsid w:val="00E609EF"/>
    <w:rsid w:val="00E82FBD"/>
    <w:rsid w:val="00E8515B"/>
    <w:rsid w:val="00E90AFF"/>
    <w:rsid w:val="00EE1DBB"/>
    <w:rsid w:val="00EF2F91"/>
    <w:rsid w:val="00F33EE3"/>
    <w:rsid w:val="00F40FD8"/>
    <w:rsid w:val="00F4213B"/>
    <w:rsid w:val="00F849ED"/>
    <w:rsid w:val="00F92398"/>
    <w:rsid w:val="00FD31A0"/>
    <w:rsid w:val="00FE48AA"/>
    <w:rsid w:val="00FF6AAD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  <w14:docId w14:val="7B6CB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912904"/>
    <w:pPr>
      <w:spacing w:before="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D2FFE"/>
    <w:pPr>
      <w:spacing w:before="480"/>
      <w:outlineLvl w:val="1"/>
    </w:pPr>
    <w:rPr>
      <w:rFonts w:ascii="Arial Black" w:hAnsi="Arial Black" w:cs="Arial"/>
      <w:bCs/>
      <w:sz w:val="32"/>
      <w:szCs w:val="32"/>
    </w:rPr>
  </w:style>
  <w:style w:type="paragraph" w:styleId="Heading3">
    <w:name w:val="heading 3"/>
    <w:basedOn w:val="Normal"/>
    <w:next w:val="Normal"/>
    <w:qFormat/>
    <w:rsid w:val="00C61B80"/>
    <w:pPr>
      <w:ind w:left="720" w:hanging="720"/>
      <w:jc w:val="both"/>
      <w:outlineLvl w:val="2"/>
    </w:pPr>
    <w:rPr>
      <w:rFonts w:cs="Arial"/>
      <w:b/>
      <w:bCs/>
      <w:szCs w:val="28"/>
    </w:rPr>
  </w:style>
  <w:style w:type="paragraph" w:styleId="Heading4">
    <w:name w:val="heading 4"/>
    <w:basedOn w:val="Normal"/>
    <w:next w:val="Normal"/>
    <w:qFormat/>
    <w:rsid w:val="00C61B80"/>
    <w:pPr>
      <w:keepNext/>
      <w:spacing w:after="240"/>
      <w:outlineLvl w:val="3"/>
    </w:pPr>
    <w:rPr>
      <w:rFonts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C32DA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CharCharCharCharCharCharCharChar">
    <w:name w:val="Char Char Char Char Char Char Char Char"/>
    <w:basedOn w:val="Normal"/>
    <w:rsid w:val="001E0219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33294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character" w:styleId="PageNumber">
    <w:name w:val="page number"/>
    <w:rsid w:val="00213BE7"/>
  </w:style>
  <w:style w:type="paragraph" w:customStyle="1" w:styleId="CharCharCharChar">
    <w:name w:val="Char Char Char Char"/>
    <w:basedOn w:val="Normal"/>
    <w:locked/>
    <w:rsid w:val="00213BE7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Hyperlink">
    <w:name w:val="Hyperlink"/>
    <w:rsid w:val="00213B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3BE7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table" w:customStyle="1" w:styleId="Style1">
    <w:name w:val="Style1"/>
    <w:basedOn w:val="TableNormal"/>
    <w:uiPriority w:val="99"/>
    <w:rsid w:val="00A160B2"/>
    <w:rPr>
      <w:rFonts w:ascii="Arial" w:hAnsi="Arial"/>
      <w:sz w:val="24"/>
    </w:rPr>
    <w:tblPr/>
    <w:tcPr>
      <w:shd w:val="clear" w:color="auto" w:fill="FFFFFF" w:themeFill="background1"/>
    </w:tcPr>
  </w:style>
  <w:style w:type="character" w:styleId="FollowedHyperlink">
    <w:name w:val="FollowedHyperlink"/>
    <w:basedOn w:val="DefaultParagraphFont"/>
    <w:rsid w:val="00912904"/>
    <w:rPr>
      <w:color w:val="800080" w:themeColor="followedHyperlink"/>
      <w:u w:val="single"/>
    </w:rPr>
  </w:style>
  <w:style w:type="paragraph" w:customStyle="1" w:styleId="CharCharCharCharCharCharCharChar0">
    <w:name w:val="Char Char Char Char Char Char Char Char"/>
    <w:basedOn w:val="Normal"/>
    <w:rsid w:val="008658CB"/>
    <w:pPr>
      <w:spacing w:after="160" w:line="240" w:lineRule="exact"/>
    </w:pPr>
    <w:rPr>
      <w:rFonts w:ascii="Tahoma" w:hAnsi="Tahoma"/>
      <w:sz w:val="20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75BD"/>
    <w:rPr>
      <w:color w:val="605E5C"/>
      <w:shd w:val="clear" w:color="auto" w:fill="E1DFDD"/>
    </w:rPr>
  </w:style>
  <w:style w:type="paragraph" w:customStyle="1" w:styleId="CharCharCharCharCharCharCharChar1">
    <w:name w:val="Char Char Char Char Char Char Char Char"/>
    <w:basedOn w:val="Normal"/>
    <w:rsid w:val="00A61BB7"/>
    <w:pPr>
      <w:spacing w:after="160" w:line="240" w:lineRule="exact"/>
    </w:pPr>
    <w:rPr>
      <w:rFonts w:ascii="Tahoma" w:hAnsi="Tahoma"/>
      <w:sz w:val="20"/>
      <w:lang w:eastAsia="en-GB"/>
    </w:rPr>
  </w:style>
  <w:style w:type="table" w:styleId="TableGrid">
    <w:name w:val="Table Grid"/>
    <w:basedOn w:val="TableNormal"/>
    <w:rsid w:val="005B1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912904"/>
    <w:pPr>
      <w:spacing w:before="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D2FFE"/>
    <w:pPr>
      <w:spacing w:before="480"/>
      <w:outlineLvl w:val="1"/>
    </w:pPr>
    <w:rPr>
      <w:rFonts w:ascii="Arial Black" w:hAnsi="Arial Black" w:cs="Arial"/>
      <w:bCs/>
      <w:sz w:val="32"/>
      <w:szCs w:val="32"/>
    </w:rPr>
  </w:style>
  <w:style w:type="paragraph" w:styleId="Heading3">
    <w:name w:val="heading 3"/>
    <w:basedOn w:val="Normal"/>
    <w:next w:val="Normal"/>
    <w:qFormat/>
    <w:rsid w:val="00C61B80"/>
    <w:pPr>
      <w:ind w:left="720" w:hanging="720"/>
      <w:jc w:val="both"/>
      <w:outlineLvl w:val="2"/>
    </w:pPr>
    <w:rPr>
      <w:rFonts w:cs="Arial"/>
      <w:b/>
      <w:bCs/>
      <w:szCs w:val="28"/>
    </w:rPr>
  </w:style>
  <w:style w:type="paragraph" w:styleId="Heading4">
    <w:name w:val="heading 4"/>
    <w:basedOn w:val="Normal"/>
    <w:next w:val="Normal"/>
    <w:qFormat/>
    <w:rsid w:val="00C61B80"/>
    <w:pPr>
      <w:keepNext/>
      <w:spacing w:after="240"/>
      <w:outlineLvl w:val="3"/>
    </w:pPr>
    <w:rPr>
      <w:rFonts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C32DA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CharCharCharCharCharCharCharChar">
    <w:name w:val="Char Char Char Char Char Char Char Char"/>
    <w:basedOn w:val="Normal"/>
    <w:rsid w:val="001E0219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33294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character" w:styleId="PageNumber">
    <w:name w:val="page number"/>
    <w:rsid w:val="00213BE7"/>
  </w:style>
  <w:style w:type="paragraph" w:customStyle="1" w:styleId="CharCharCharChar">
    <w:name w:val="Char Char Char Char"/>
    <w:basedOn w:val="Normal"/>
    <w:locked/>
    <w:rsid w:val="00213BE7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Hyperlink">
    <w:name w:val="Hyperlink"/>
    <w:rsid w:val="00213B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3BE7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table" w:customStyle="1" w:styleId="Style1">
    <w:name w:val="Style1"/>
    <w:basedOn w:val="TableNormal"/>
    <w:uiPriority w:val="99"/>
    <w:rsid w:val="00A160B2"/>
    <w:rPr>
      <w:rFonts w:ascii="Arial" w:hAnsi="Arial"/>
      <w:sz w:val="24"/>
    </w:rPr>
    <w:tblPr/>
    <w:tcPr>
      <w:shd w:val="clear" w:color="auto" w:fill="FFFFFF" w:themeFill="background1"/>
    </w:tcPr>
  </w:style>
  <w:style w:type="character" w:styleId="FollowedHyperlink">
    <w:name w:val="FollowedHyperlink"/>
    <w:basedOn w:val="DefaultParagraphFont"/>
    <w:rsid w:val="00912904"/>
    <w:rPr>
      <w:color w:val="800080" w:themeColor="followedHyperlink"/>
      <w:u w:val="single"/>
    </w:rPr>
  </w:style>
  <w:style w:type="paragraph" w:customStyle="1" w:styleId="CharCharCharCharCharCharCharChar0">
    <w:name w:val="Char Char Char Char Char Char Char Char"/>
    <w:basedOn w:val="Normal"/>
    <w:rsid w:val="008658CB"/>
    <w:pPr>
      <w:spacing w:after="160" w:line="240" w:lineRule="exact"/>
    </w:pPr>
    <w:rPr>
      <w:rFonts w:ascii="Tahoma" w:hAnsi="Tahoma"/>
      <w:sz w:val="20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75BD"/>
    <w:rPr>
      <w:color w:val="605E5C"/>
      <w:shd w:val="clear" w:color="auto" w:fill="E1DFDD"/>
    </w:rPr>
  </w:style>
  <w:style w:type="paragraph" w:customStyle="1" w:styleId="CharCharCharCharCharCharCharChar1">
    <w:name w:val="Char Char Char Char Char Char Char Char"/>
    <w:basedOn w:val="Normal"/>
    <w:rsid w:val="00A61BB7"/>
    <w:pPr>
      <w:spacing w:after="160" w:line="240" w:lineRule="exact"/>
    </w:pPr>
    <w:rPr>
      <w:rFonts w:ascii="Tahoma" w:hAnsi="Tahoma"/>
      <w:sz w:val="20"/>
      <w:lang w:eastAsia="en-GB"/>
    </w:rPr>
  </w:style>
  <w:style w:type="table" w:styleId="TableGrid">
    <w:name w:val="Table Grid"/>
    <w:basedOn w:val="TableNormal"/>
    <w:rsid w:val="005B1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eremy.randall@harrow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Harrow Council</Company>
  <LinksUpToDate>false</LinksUpToDate>
  <CharactersWithSpaces>4246</CharactersWithSpaces>
  <SharedDoc>false</SharedDoc>
  <HLinks>
    <vt:vector size="12" baseType="variant">
      <vt:variant>
        <vt:i4>3211339</vt:i4>
      </vt:variant>
      <vt:variant>
        <vt:i4>3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  <vt:variant>
        <vt:i4>3211339</vt:i4>
      </vt:variant>
      <vt:variant>
        <vt:i4>0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Harrow IT Services</dc:creator>
  <cp:lastModifiedBy>dharris</cp:lastModifiedBy>
  <cp:revision>16</cp:revision>
  <cp:lastPrinted>2007-07-12T09:53:00Z</cp:lastPrinted>
  <dcterms:created xsi:type="dcterms:W3CDTF">2020-11-05T15:07:00Z</dcterms:created>
  <dcterms:modified xsi:type="dcterms:W3CDTF">2020-11-24T13:55:00Z</dcterms:modified>
</cp:coreProperties>
</file>